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37" w:rsidRPr="008E6625" w:rsidRDefault="006C0473" w:rsidP="008E6625">
      <w:pPr>
        <w:rPr>
          <w:rFonts w:cstheme="minorHAnsi"/>
          <w:b/>
          <w:sz w:val="36"/>
          <w:szCs w:val="36"/>
        </w:rPr>
      </w:pPr>
      <w:r w:rsidRPr="00731C54">
        <w:rPr>
          <w:rFonts w:cstheme="minorHAnsi"/>
          <w:b/>
          <w:sz w:val="36"/>
          <w:szCs w:val="36"/>
        </w:rPr>
        <w:t>Projekt</w:t>
      </w:r>
      <w:r w:rsidR="00025E37">
        <w:rPr>
          <w:rFonts w:cstheme="minorHAnsi"/>
          <w:b/>
          <w:sz w:val="36"/>
          <w:szCs w:val="36"/>
        </w:rPr>
        <w:t>auswahlkriterien</w:t>
      </w:r>
      <w:r w:rsidRPr="00731C54">
        <w:rPr>
          <w:rFonts w:cstheme="minorHAnsi"/>
          <w:b/>
          <w:sz w:val="36"/>
          <w:szCs w:val="36"/>
        </w:rPr>
        <w:t xml:space="preserve"> Region Marburger Land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169"/>
        <w:gridCol w:w="732"/>
        <w:gridCol w:w="175"/>
        <w:gridCol w:w="853"/>
        <w:gridCol w:w="11"/>
        <w:gridCol w:w="3210"/>
      </w:tblGrid>
      <w:tr w:rsidR="004F56A7" w:rsidTr="004F56A7">
        <w:trPr>
          <w:trHeight w:val="489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Handlungsfeld 2: Wirtschaftliche Entwicklung und regionale Versorgungsstrukturen durch Klein-</w:t>
            </w:r>
            <w:r w:rsidR="000E4087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t>und Kleinstunternehmen</w:t>
            </w:r>
          </w:p>
        </w:tc>
      </w:tr>
      <w:tr w:rsidR="00025E37" w:rsidTr="004F56A7">
        <w:trPr>
          <w:trHeight w:val="489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:rsidR="00025E37" w:rsidRDefault="00025E3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Projektname:</w:t>
            </w:r>
          </w:p>
        </w:tc>
      </w:tr>
      <w:tr w:rsidR="00025E37" w:rsidTr="00025E37">
        <w:trPr>
          <w:trHeight w:val="489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5E37" w:rsidRDefault="00025E3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  <w:tr w:rsidR="004F56A7" w:rsidTr="004F56A7">
        <w:trPr>
          <w:trHeight w:val="421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Thema RE 2.1.: Umsetzung investiver Vorhaben regionaler Kleinstunternehmen</w:t>
            </w:r>
          </w:p>
        </w:tc>
      </w:tr>
      <w:tr w:rsidR="004F56A7" w:rsidTr="00D23464">
        <w:trPr>
          <w:trHeight w:val="79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4F56A7" w:rsidTr="00D23464">
        <w:trPr>
          <w:trHeight w:val="31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4F56A7" w:rsidTr="00D23464">
        <w:trPr>
          <w:trHeight w:val="79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fördert die Gründung und Entwicklung von Kleinstunternehmen.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25%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31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„Mehrwert“ obligatorisch: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1584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trägt zur Grundversorgung der lokalen Bevölkerung bei.</w:t>
            </w:r>
            <w:r>
              <w:rPr>
                <w:rFonts w:cstheme="minorHAnsi"/>
                <w:color w:val="000000"/>
                <w:sz w:val="20"/>
              </w:rPr>
              <w:br/>
              <w:t>Das Vorhaben wird in einem Orts- oder Stadtteil mit nicht mehr als 10.000 Einwohnern umgesetzt.</w:t>
            </w:r>
            <w:r>
              <w:rPr>
                <w:rFonts w:cstheme="minorHAnsi"/>
                <w:color w:val="000000"/>
                <w:sz w:val="20"/>
              </w:rPr>
              <w:br/>
              <w:t>Das Vorhaben wird von der Kommune als „wichtiges“ Kleinstunternehmen der Grundversorgung“ bestätigt.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30%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594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Mit dem Vorhaben wird mind. ein Arbeits- oder Ausbildungsplatz geschaffen.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1271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Der Projektstandort unterstützt die Stärkung des Innenbereichs. In der Vorhabenumsetzung werden die Grundsätze für das „Bauen im ländlichen Raum“ berücksichtigt.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79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bezieht regionale, nachhaltig erzeugte Produkte ein.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34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</w:tr>
      <w:tr w:rsidR="004F56A7" w:rsidTr="00D23464">
        <w:trPr>
          <w:trHeight w:val="528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Mit dem Vorhaben wird ein multifunktionaler Ansatz umgesetzt.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528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524B03">
        <w:trPr>
          <w:trHeight w:val="528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stärkt die Vereinbarkeit von Familie und Beruf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025E37" w:rsidTr="00524B03">
        <w:trPr>
          <w:trHeight w:val="34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025E37" w:rsidRDefault="00025E37" w:rsidP="001934BE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Auswahlkriterien für Ranking fakultativ: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025E37" w:rsidRDefault="00025E37" w:rsidP="001934BE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025E37" w:rsidRDefault="00025E37" w:rsidP="001934BE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025E37" w:rsidRDefault="00025E37" w:rsidP="001934BE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</w:tr>
      <w:tr w:rsidR="004F56A7" w:rsidTr="00D23464">
        <w:trPr>
          <w:trHeight w:val="792"/>
        </w:trPr>
        <w:tc>
          <w:tcPr>
            <w:tcW w:w="3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3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</w:tr>
      <w:tr w:rsidR="004F56A7" w:rsidTr="00D23464">
        <w:trPr>
          <w:trHeight w:val="528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Das Vorhaben berücksichtigt Aspekte der Gemeinwohlökonomie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4F56A7" w:rsidTr="00D23464">
        <w:trPr>
          <w:trHeight w:val="312"/>
        </w:trPr>
        <w:tc>
          <w:tcPr>
            <w:tcW w:w="3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wirkt handlungsfeldübergreifend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324"/>
        </w:trPr>
        <w:tc>
          <w:tcPr>
            <w:tcW w:w="3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berücksichtigt digitale Anwendungen.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342"/>
        </w:trPr>
        <w:tc>
          <w:tcPr>
            <w:tcW w:w="3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342"/>
        </w:trPr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6A7" w:rsidRDefault="004F56A7" w:rsidP="004F56A7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4F56A7" w:rsidTr="004F56A7">
        <w:trPr>
          <w:trHeight w:val="339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4F56A7" w:rsidRPr="004F56A7" w:rsidRDefault="004F56A7">
            <w:pPr>
              <w:spacing w:line="240" w:lineRule="auto"/>
            </w:pPr>
            <w:r>
              <w:br w:type="page"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Thema 2.2.: Umsetzung investiver Vorhaben von Kleinunternehmen des Gastgewerbes</w:t>
            </w:r>
          </w:p>
        </w:tc>
      </w:tr>
      <w:tr w:rsidR="004F56A7" w:rsidTr="00D23464">
        <w:trPr>
          <w:trHeight w:val="79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 w:rsidP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4F56A7" w:rsidTr="00D23464">
        <w:trPr>
          <w:trHeight w:val="31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4F56A7" w:rsidTr="00D23464">
        <w:trPr>
          <w:trHeight w:val="1320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fördert die Gründung und Entwicklung von Kleinunternehmen des Gastgewerbes.</w:t>
            </w:r>
            <w:r>
              <w:rPr>
                <w:rFonts w:cstheme="minorHAnsi"/>
                <w:color w:val="000000"/>
                <w:sz w:val="20"/>
              </w:rPr>
              <w:br/>
              <w:t>Das Vorhaben trägt zur Qualitätssteigerung bei und nimmt an anerkannten Zertifizierungsverfahren für das Gastgewerbe teil.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25%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>
              <w:rPr>
                <w:rFonts w:cstheme="minorHAnsi"/>
                <w:color w:val="000000"/>
                <w:sz w:val="20"/>
              </w:rPr>
              <w:t>200.000 €</w:t>
            </w:r>
          </w:p>
        </w:tc>
      </w:tr>
      <w:tr w:rsidR="004F56A7" w:rsidTr="00D23464">
        <w:trPr>
          <w:trHeight w:val="31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„Mehrwert“ obligatorisch: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79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Mit dem Vorhaben wird mind. ein Arbeits- oder Ausbildungsplätze geschaffen.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1320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Der Standort des Vorhabens unterstützt die Stärkung des Innenbereichs.</w:t>
            </w:r>
            <w:r>
              <w:rPr>
                <w:rFonts w:cstheme="minorHAnsi"/>
                <w:color w:val="000000"/>
                <w:sz w:val="20"/>
              </w:rPr>
              <w:br/>
              <w:t>Bei der Umsetzung des Vorhabens werden die Grundsätze für das „Bauen im ländlichen Raum“ berücksichtigt.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79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bezieht regionale, nachhaltig erzeugte Produkte und Dienstleistungen ein.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plus 5%, max.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1416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beseitigt gastronomische Angebotsdefizite an bedeutsamen Radwegen, Wander- und Bootswanderstrecken. Das Vorhaben wird von der TAG/Destination als Unterversorgung Bestätigt.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Private: 45%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200.000 €</w:t>
            </w:r>
          </w:p>
        </w:tc>
      </w:tr>
      <w:tr w:rsidR="004F56A7" w:rsidTr="00D23464">
        <w:trPr>
          <w:trHeight w:val="342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Auswahlkriterien für Ranking fakultativ: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</w:tr>
      <w:tr w:rsidR="004F56A7" w:rsidTr="00D23464">
        <w:trPr>
          <w:trHeight w:val="79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leistet einen Beitrag zur gesellschaftlichen Teilhabe, Inklusion und Integration (Barrierefreiheit).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</w:p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befördert digitale Anwendungen im Gastgewerbe.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780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unterstützt die Angebotsentwicklung und Kooperation mit der regionalen Tourismusorganisation.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berücksichtigt Aspekte der Gemeinwohlökonomie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79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fördert regionale Partnerschaften/Vernetzung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stärkt die Vereinbarkeit von Familie und Beruf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bindet landwirtschaftliche Betriebe in die touristische Entwicklung ein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40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schafft naturnahe Unterkünfte mit Erlebniswert.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342"/>
        </w:trPr>
        <w:tc>
          <w:tcPr>
            <w:tcW w:w="4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106532" w:rsidTr="00D23464">
        <w:trPr>
          <w:trHeight w:val="342"/>
        </w:trPr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32" w:rsidRDefault="00106532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32" w:rsidRDefault="0010653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32" w:rsidRDefault="00106532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32" w:rsidRDefault="00106532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4F56A7" w:rsidTr="00D23464">
        <w:trPr>
          <w:trHeight w:val="623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br w:type="page"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Thema 2.3.: Entwicklung und Umsetzung nicht-investiver und investiver Vorhaben zur Förderung regionaler Wirtschaftskraft durch Netzwerke, Wertschöpfungsketten und Fachkräftestrategien</w:t>
            </w:r>
          </w:p>
        </w:tc>
      </w:tr>
      <w:tr w:rsidR="004F56A7" w:rsidTr="00D23464">
        <w:trPr>
          <w:trHeight w:val="415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Trifft zu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4F56A7" w:rsidTr="00D23464">
        <w:trPr>
          <w:trHeight w:val="31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4F56A7" w:rsidTr="00D23464">
        <w:trPr>
          <w:trHeight w:val="1149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Das Vorhaben unterstützt die Gründung und Weiterentwicklung von Netzwerken der </w:t>
            </w:r>
            <w:r>
              <w:rPr>
                <w:rFonts w:cstheme="minorHAnsi"/>
                <w:noProof/>
                <w:color w:val="000000"/>
                <w:sz w:val="20"/>
              </w:rPr>
              <w:t>regionalen</w:t>
            </w:r>
            <w:r>
              <w:rPr>
                <w:rFonts w:cstheme="minorHAnsi"/>
                <w:color w:val="000000"/>
                <w:sz w:val="20"/>
              </w:rPr>
              <w:t xml:space="preserve"> Wirtschaftspartner.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>
              <w:rPr>
                <w:rFonts w:cstheme="minorHAnsi"/>
                <w:color w:val="000000"/>
                <w:sz w:val="20"/>
              </w:rPr>
              <w:br/>
              <w:t>Private: 80%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4F56A7" w:rsidTr="00D23464">
        <w:trPr>
          <w:trHeight w:val="1195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unterstützt die Gründung und Weiterentwicklung von Wertschöpfungsketten.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>
              <w:rPr>
                <w:rFonts w:cstheme="minorHAnsi"/>
                <w:color w:val="000000"/>
                <w:sz w:val="20"/>
              </w:rPr>
              <w:br/>
              <w:t>Private: 80%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D23464" w:rsidTr="00524B03">
        <w:trPr>
          <w:trHeight w:val="1195"/>
        </w:trPr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464" w:rsidRDefault="00D23464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464" w:rsidRDefault="00D23464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464" w:rsidRDefault="00D23464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464" w:rsidRDefault="00D23464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  <w:tr w:rsidR="00D23464" w:rsidTr="00524B03">
        <w:trPr>
          <w:trHeight w:val="415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bookmarkStart w:id="0" w:name="_GoBack"/>
            <w:r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Trifft zu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bookmarkEnd w:id="0"/>
      <w:tr w:rsidR="00D23464" w:rsidTr="00BB70CB">
        <w:trPr>
          <w:trHeight w:val="31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D23464" w:rsidRDefault="00D23464" w:rsidP="00BB70C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4F56A7" w:rsidTr="00D23464">
        <w:trPr>
          <w:trHeight w:val="1241"/>
        </w:trPr>
        <w:tc>
          <w:tcPr>
            <w:tcW w:w="40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fördert die Konzeption und Umsetzung von Fachkräftestrategien zur Unterstützung der Ziele der lokalen Entwicklungsstrategie.</w:t>
            </w: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>
              <w:rPr>
                <w:rFonts w:cstheme="minorHAnsi"/>
                <w:color w:val="000000"/>
                <w:sz w:val="20"/>
              </w:rPr>
              <w:br/>
              <w:t>Private: 80%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4F56A7" w:rsidTr="00D23464">
        <w:trPr>
          <w:trHeight w:val="1131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fördert nicht-investive Vorhaben zur Umsetzung des Handlungsfeldes (z.B. Markenentwicklung, Projektentwicklung...).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>
              <w:rPr>
                <w:rFonts w:cstheme="minorHAnsi"/>
                <w:color w:val="000000"/>
                <w:sz w:val="20"/>
              </w:rPr>
              <w:br/>
              <w:t>Private: 80%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4F56A7" w:rsidTr="00D23464">
        <w:trPr>
          <w:trHeight w:val="117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unterstützt Investitionen in die wohnortnahe Wirtschaftsinfrastruktur (z.B. Coworking-Spaces, Projektbüro, Telemedizin).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>
              <w:rPr>
                <w:rFonts w:cstheme="minorHAnsi"/>
                <w:color w:val="000000"/>
                <w:sz w:val="20"/>
              </w:rPr>
              <w:br/>
              <w:t>Private: 80%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100.000 €</w:t>
            </w:r>
          </w:p>
        </w:tc>
      </w:tr>
      <w:tr w:rsidR="004F56A7" w:rsidTr="00D23464">
        <w:trPr>
          <w:trHeight w:val="1223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Das Vorhaben fördert nicht-investive Vorhaben der gebietsüberschreitenden und transnationalen Kooperation (Kooperationsprojekt).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>
              <w:rPr>
                <w:rFonts w:cstheme="minorHAnsi"/>
                <w:color w:val="000000"/>
                <w:sz w:val="20"/>
              </w:rPr>
              <w:br/>
              <w:t>Private: 80%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100.000 €</w:t>
            </w:r>
          </w:p>
        </w:tc>
      </w:tr>
      <w:tr w:rsidR="004F56A7" w:rsidTr="00D23464">
        <w:trPr>
          <w:trHeight w:val="257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E4E4"/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79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---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berücksichtigt Aspekte der Gemeinwohlökonomie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fördert/unterstützt junge Menschen bei der Wahl der Ausbildung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fördert regionale Partnerschaften/Vernetzung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28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nutzt leerstehende Wirtschaftsgebäude oder alte Gewerbeflächen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312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wirkt handlungsfeldübergreifend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540"/>
        </w:trPr>
        <w:tc>
          <w:tcPr>
            <w:tcW w:w="40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Das Vorhaben stärkt die Vereinbarkeit von Familie und Beruf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4F56A7" w:rsidTr="00D23464">
        <w:trPr>
          <w:trHeight w:val="342"/>
        </w:trPr>
        <w:tc>
          <w:tcPr>
            <w:tcW w:w="4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6A7" w:rsidRDefault="004F56A7">
            <w:pPr>
              <w:spacing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</w:tbl>
    <w:p w:rsidR="00731C54" w:rsidRDefault="00731C54" w:rsidP="00BB784E">
      <w:pPr>
        <w:rPr>
          <w:rFonts w:ascii="Arial" w:hAnsi="Arial" w:cs="Arial"/>
          <w:b/>
          <w:sz w:val="24"/>
          <w:szCs w:val="24"/>
        </w:rPr>
      </w:pPr>
    </w:p>
    <w:p w:rsidR="00D23464" w:rsidRDefault="00D23464" w:rsidP="00BB784E">
      <w:pPr>
        <w:rPr>
          <w:rFonts w:ascii="Arial" w:hAnsi="Arial" w:cs="Arial"/>
          <w:b/>
          <w:sz w:val="24"/>
          <w:szCs w:val="24"/>
        </w:rPr>
      </w:pPr>
    </w:p>
    <w:p w:rsidR="008E6625" w:rsidRDefault="008E6625" w:rsidP="00BB784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854" w:rsidTr="009B3930">
        <w:tc>
          <w:tcPr>
            <w:tcW w:w="9062" w:type="dxa"/>
            <w:gridSpan w:val="2"/>
            <w:shd w:val="clear" w:color="auto" w:fill="A8D08D" w:themeFill="accent6" w:themeFillTint="99"/>
          </w:tcPr>
          <w:p w:rsidR="00B67854" w:rsidRDefault="00B67854" w:rsidP="00BB784E">
            <w:pPr>
              <w:rPr>
                <w:rFonts w:cstheme="minorHAnsi"/>
                <w:b/>
                <w:sz w:val="20"/>
                <w:szCs w:val="20"/>
              </w:rPr>
            </w:pPr>
            <w:r w:rsidRPr="009B3930">
              <w:rPr>
                <w:rFonts w:cstheme="minorHAnsi"/>
                <w:b/>
                <w:sz w:val="20"/>
                <w:szCs w:val="20"/>
              </w:rPr>
              <w:t>Ergebnis Bewertung:</w:t>
            </w:r>
          </w:p>
          <w:p w:rsidR="002C279B" w:rsidRPr="009B3930" w:rsidRDefault="002C279B" w:rsidP="00BB78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7854" w:rsidTr="009B3930">
        <w:trPr>
          <w:trHeight w:val="323"/>
        </w:trPr>
        <w:tc>
          <w:tcPr>
            <w:tcW w:w="4531" w:type="dxa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Summe Punkte Auswahlkriterien</w:t>
            </w:r>
          </w:p>
        </w:tc>
        <w:tc>
          <w:tcPr>
            <w:tcW w:w="4531" w:type="dxa"/>
          </w:tcPr>
          <w:p w:rsidR="00B67854" w:rsidRPr="009B3930" w:rsidRDefault="00B67854" w:rsidP="00B678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Punkte</w:t>
            </w:r>
          </w:p>
        </w:tc>
      </w:tr>
      <w:tr w:rsidR="00B67854" w:rsidTr="009B3930">
        <w:trPr>
          <w:trHeight w:val="323"/>
        </w:trPr>
        <w:tc>
          <w:tcPr>
            <w:tcW w:w="4531" w:type="dxa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Summe LES-Zuordnung</w:t>
            </w:r>
          </w:p>
        </w:tc>
        <w:tc>
          <w:tcPr>
            <w:tcW w:w="4531" w:type="dxa"/>
          </w:tcPr>
          <w:p w:rsidR="00B67854" w:rsidRPr="009B3930" w:rsidRDefault="00B67854" w:rsidP="00B678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Punkte</w:t>
            </w:r>
          </w:p>
        </w:tc>
      </w:tr>
      <w:tr w:rsidR="00B67854" w:rsidTr="009B3930">
        <w:trPr>
          <w:trHeight w:val="323"/>
        </w:trPr>
        <w:tc>
          <w:tcPr>
            <w:tcW w:w="4531" w:type="dxa"/>
            <w:shd w:val="clear" w:color="auto" w:fill="D9D9D9" w:themeFill="background1" w:themeFillShade="D9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Gesamtpunkte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67854" w:rsidRPr="009B3930" w:rsidRDefault="009B3930" w:rsidP="009B39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Punkte</w:t>
            </w:r>
          </w:p>
        </w:tc>
      </w:tr>
    </w:tbl>
    <w:p w:rsidR="003932AC" w:rsidRDefault="003932AC" w:rsidP="00BB784E">
      <w:pPr>
        <w:rPr>
          <w:rFonts w:ascii="Arial" w:hAnsi="Arial" w:cs="Arial"/>
          <w:b/>
          <w:sz w:val="24"/>
          <w:szCs w:val="24"/>
        </w:rPr>
      </w:pPr>
    </w:p>
    <w:p w:rsidR="007A563C" w:rsidRPr="007A563C" w:rsidRDefault="007A563C" w:rsidP="00BB784E">
      <w:pPr>
        <w:rPr>
          <w:rFonts w:cstheme="minorHAnsi"/>
          <w:sz w:val="20"/>
          <w:szCs w:val="20"/>
        </w:rPr>
      </w:pPr>
      <w:r w:rsidRPr="007A563C">
        <w:rPr>
          <w:rFonts w:cstheme="minorHAnsi"/>
          <w:sz w:val="20"/>
          <w:szCs w:val="20"/>
        </w:rPr>
        <w:t>___________________________________________________________________</w:t>
      </w:r>
      <w:r>
        <w:rPr>
          <w:rFonts w:cstheme="minorHAnsi"/>
          <w:sz w:val="20"/>
          <w:szCs w:val="20"/>
        </w:rPr>
        <w:t>________________________Ort, Datum                                                                                                                   Region Marburger Land e. V.</w:t>
      </w:r>
    </w:p>
    <w:sectPr w:rsidR="007A563C" w:rsidRPr="007A56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4" w:rsidRDefault="00B67854" w:rsidP="00697566">
      <w:pPr>
        <w:spacing w:after="0" w:line="240" w:lineRule="auto"/>
      </w:pPr>
      <w:r>
        <w:separator/>
      </w:r>
    </w:p>
  </w:endnote>
  <w:endnote w:type="continuationSeparator" w:id="0">
    <w:p w:rsidR="00B67854" w:rsidRDefault="00B67854" w:rsidP="0069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35256"/>
      <w:docPartObj>
        <w:docPartGallery w:val="Page Numbers (Bottom of Page)"/>
        <w:docPartUnique/>
      </w:docPartObj>
    </w:sdtPr>
    <w:sdtEndPr/>
    <w:sdtContent>
      <w:p w:rsidR="00B67854" w:rsidRDefault="00B6785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4" name="Flussdiagramm: Verzweigu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6F1BBD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" fillcolor="#a8d08d [1945]" strokecolor="#a8d08d [1945]">
                  <w10:anchorlock/>
                </v:shape>
              </w:pict>
            </mc:Fallback>
          </mc:AlternateContent>
        </w:r>
      </w:p>
      <w:p w:rsidR="00B67854" w:rsidRDefault="00B6785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854" w:rsidRDefault="00B678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4" w:rsidRDefault="00B67854" w:rsidP="00697566">
      <w:pPr>
        <w:spacing w:after="0" w:line="240" w:lineRule="auto"/>
      </w:pPr>
      <w:r>
        <w:separator/>
      </w:r>
    </w:p>
  </w:footnote>
  <w:footnote w:type="continuationSeparator" w:id="0">
    <w:p w:rsidR="00B67854" w:rsidRDefault="00B67854" w:rsidP="0069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54" w:rsidRDefault="00B6785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-249555</wp:posOffset>
          </wp:positionV>
          <wp:extent cx="961702" cy="658731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_Land_Logo_m_Slogan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02" cy="658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C187A"/>
    <w:multiLevelType w:val="hybridMultilevel"/>
    <w:tmpl w:val="F99ED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3"/>
    <w:rsid w:val="00025E37"/>
    <w:rsid w:val="000553F7"/>
    <w:rsid w:val="00085AD6"/>
    <w:rsid w:val="000E4087"/>
    <w:rsid w:val="00106532"/>
    <w:rsid w:val="00290AE6"/>
    <w:rsid w:val="002C279B"/>
    <w:rsid w:val="003932AC"/>
    <w:rsid w:val="004F56A7"/>
    <w:rsid w:val="00502563"/>
    <w:rsid w:val="00524B03"/>
    <w:rsid w:val="00624AA7"/>
    <w:rsid w:val="0068028B"/>
    <w:rsid w:val="00697566"/>
    <w:rsid w:val="006C0473"/>
    <w:rsid w:val="00731C54"/>
    <w:rsid w:val="0078482D"/>
    <w:rsid w:val="007A563C"/>
    <w:rsid w:val="007B641F"/>
    <w:rsid w:val="00855CD8"/>
    <w:rsid w:val="008E6625"/>
    <w:rsid w:val="009B3930"/>
    <w:rsid w:val="00AD218C"/>
    <w:rsid w:val="00B67854"/>
    <w:rsid w:val="00BA2D00"/>
    <w:rsid w:val="00BB784E"/>
    <w:rsid w:val="00C04846"/>
    <w:rsid w:val="00C20AEE"/>
    <w:rsid w:val="00D23464"/>
    <w:rsid w:val="00D97931"/>
    <w:rsid w:val="00E5034E"/>
    <w:rsid w:val="00E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425823B"/>
  <w15:chartTrackingRefBased/>
  <w15:docId w15:val="{AB4667C9-0892-4628-9D6F-9AA1E4D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autoRedefine/>
    <w:qFormat/>
    <w:rsid w:val="00731C54"/>
    <w:pPr>
      <w:keepNext/>
      <w:numPr>
        <w:numId w:val="2"/>
      </w:numPr>
      <w:spacing w:after="120" w:line="240" w:lineRule="auto"/>
      <w:outlineLvl w:val="0"/>
    </w:pPr>
    <w:rPr>
      <w:b/>
      <w:caps/>
      <w:sz w:val="26"/>
    </w:rPr>
  </w:style>
  <w:style w:type="paragraph" w:styleId="berschrift2">
    <w:name w:val="heading 2"/>
    <w:aliases w:val="Bericht"/>
    <w:basedOn w:val="Standard"/>
    <w:next w:val="Textkrper"/>
    <w:link w:val="berschrift2Zchn"/>
    <w:autoRedefine/>
    <w:semiHidden/>
    <w:unhideWhenUsed/>
    <w:qFormat/>
    <w:rsid w:val="00731C54"/>
    <w:pPr>
      <w:keepNext/>
      <w:numPr>
        <w:ilvl w:val="1"/>
        <w:numId w:val="2"/>
      </w:numPr>
      <w:spacing w:before="240" w:after="240" w:line="240" w:lineRule="auto"/>
      <w:outlineLvl w:val="1"/>
    </w:pPr>
    <w:rPr>
      <w:sz w:val="26"/>
    </w:rPr>
  </w:style>
  <w:style w:type="paragraph" w:styleId="berschrift3">
    <w:name w:val="heading 3"/>
    <w:aliases w:val="Überschrift 3 Bericht"/>
    <w:basedOn w:val="Standard"/>
    <w:next w:val="Textkrper"/>
    <w:link w:val="berschrift3Zchn"/>
    <w:autoRedefine/>
    <w:semiHidden/>
    <w:unhideWhenUsed/>
    <w:qFormat/>
    <w:rsid w:val="00731C54"/>
    <w:pPr>
      <w:keepNext/>
      <w:numPr>
        <w:ilvl w:val="2"/>
        <w:numId w:val="2"/>
      </w:numPr>
      <w:spacing w:before="120" w:after="120" w:line="240" w:lineRule="auto"/>
      <w:outlineLvl w:val="2"/>
    </w:p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731C54"/>
    <w:pPr>
      <w:keepNext/>
      <w:numPr>
        <w:ilvl w:val="3"/>
        <w:numId w:val="2"/>
      </w:numPr>
      <w:spacing w:before="120" w:after="120" w:line="240" w:lineRule="auto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1C54"/>
    <w:pPr>
      <w:keepNext/>
      <w:numPr>
        <w:ilvl w:val="4"/>
        <w:numId w:val="2"/>
      </w:numPr>
      <w:tabs>
        <w:tab w:val="left" w:pos="794"/>
      </w:tabs>
      <w:spacing w:after="60" w:line="240" w:lineRule="auto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31C54"/>
    <w:pPr>
      <w:numPr>
        <w:ilvl w:val="5"/>
        <w:numId w:val="2"/>
      </w:numPr>
      <w:spacing w:before="240" w:after="60" w:line="256" w:lineRule="auto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31C54"/>
    <w:pPr>
      <w:numPr>
        <w:ilvl w:val="6"/>
        <w:numId w:val="2"/>
      </w:numPr>
      <w:spacing w:before="240" w:after="60" w:line="256" w:lineRule="auto"/>
      <w:outlineLvl w:val="6"/>
    </w:p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31C54"/>
    <w:pPr>
      <w:numPr>
        <w:ilvl w:val="7"/>
        <w:numId w:val="2"/>
      </w:numPr>
      <w:spacing w:before="240" w:after="60" w:line="256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31C54"/>
    <w:pPr>
      <w:numPr>
        <w:ilvl w:val="8"/>
        <w:numId w:val="2"/>
      </w:numPr>
      <w:spacing w:before="240" w:after="60" w:line="256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8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566"/>
  </w:style>
  <w:style w:type="paragraph" w:styleId="Fuzeile">
    <w:name w:val="footer"/>
    <w:basedOn w:val="Standard"/>
    <w:link w:val="Fu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566"/>
  </w:style>
  <w:style w:type="paragraph" w:styleId="KeinLeerraum">
    <w:name w:val="No Spacing"/>
    <w:uiPriority w:val="1"/>
    <w:qFormat/>
    <w:rsid w:val="00855CD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5C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CD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1C54"/>
    <w:rPr>
      <w:b/>
      <w:caps/>
      <w:sz w:val="26"/>
    </w:rPr>
  </w:style>
  <w:style w:type="character" w:customStyle="1" w:styleId="berschrift2Zchn">
    <w:name w:val="Überschrift 2 Zchn"/>
    <w:aliases w:val="Bericht Zchn"/>
    <w:basedOn w:val="Absatz-Standardschriftart"/>
    <w:link w:val="berschrift2"/>
    <w:semiHidden/>
    <w:rsid w:val="00731C54"/>
    <w:rPr>
      <w:sz w:val="26"/>
    </w:rPr>
  </w:style>
  <w:style w:type="character" w:customStyle="1" w:styleId="berschrift3Zchn">
    <w:name w:val="Überschrift 3 Zchn"/>
    <w:aliases w:val="Überschrift 3 Bericht Zchn"/>
    <w:basedOn w:val="Absatz-Standardschriftart"/>
    <w:link w:val="berschrift3"/>
    <w:semiHidden/>
    <w:rsid w:val="00731C54"/>
  </w:style>
  <w:style w:type="character" w:customStyle="1" w:styleId="berschrift4Zchn">
    <w:name w:val="Überschrift 4 Zchn"/>
    <w:basedOn w:val="Absatz-Standardschriftart"/>
    <w:link w:val="berschrift4"/>
    <w:semiHidden/>
    <w:rsid w:val="00731C54"/>
    <w:rPr>
      <w:i/>
    </w:rPr>
  </w:style>
  <w:style w:type="character" w:customStyle="1" w:styleId="berschrift5Zchn">
    <w:name w:val="Überschrift 5 Zchn"/>
    <w:basedOn w:val="Absatz-Standardschriftart"/>
    <w:link w:val="berschrift5"/>
    <w:semiHidden/>
    <w:rsid w:val="00731C54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semiHidden/>
    <w:rsid w:val="00731C54"/>
    <w:rPr>
      <w:i/>
    </w:rPr>
  </w:style>
  <w:style w:type="character" w:customStyle="1" w:styleId="berschrift7Zchn">
    <w:name w:val="Überschrift 7 Zchn"/>
    <w:basedOn w:val="Absatz-Standardschriftart"/>
    <w:link w:val="berschrift7"/>
    <w:semiHidden/>
    <w:rsid w:val="00731C54"/>
  </w:style>
  <w:style w:type="character" w:customStyle="1" w:styleId="berschrift8Zchn">
    <w:name w:val="Überschrift 8 Zchn"/>
    <w:basedOn w:val="Absatz-Standardschriftart"/>
    <w:link w:val="berschrift8"/>
    <w:semiHidden/>
    <w:rsid w:val="00731C54"/>
    <w:rPr>
      <w:i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731C54"/>
    <w:rPr>
      <w:i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3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ED16-A964-41FF-8ED5-D619AAEB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Siracusa, Nadine (Region Marburger Land)</dc:creator>
  <cp:keywords/>
  <dc:description/>
  <cp:lastModifiedBy>Siracusa, Nadine (Region Marburger Land)</cp:lastModifiedBy>
  <cp:revision>4</cp:revision>
  <dcterms:created xsi:type="dcterms:W3CDTF">2023-01-12T08:17:00Z</dcterms:created>
  <dcterms:modified xsi:type="dcterms:W3CDTF">2023-01-12T08:27:00Z</dcterms:modified>
</cp:coreProperties>
</file>